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622D08">
      <w:pPr>
        <w:jc w:val="center"/>
        <w:rPr>
          <w:rFonts w:ascii="宋体" w:hAnsi="宋体" w:eastAsia="宋体"/>
          <w:b/>
          <w:bCs/>
          <w:sz w:val="48"/>
          <w:szCs w:val="48"/>
        </w:rPr>
      </w:pPr>
      <w:bookmarkStart w:id="0" w:name="_Hlk54284642"/>
      <w:bookmarkEnd w:id="0"/>
      <w:r>
        <w:rPr>
          <w:rFonts w:hint="eastAsia" w:ascii="宋体" w:hAnsi="宋体" w:eastAsia="宋体"/>
          <w:b/>
          <w:bCs/>
          <w:sz w:val="48"/>
          <w:szCs w:val="48"/>
        </w:rPr>
        <w:t>学生操作手册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005700606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3AA66A92">
          <w:pPr>
            <w:pStyle w:val="17"/>
            <w:jc w:val="center"/>
            <w:rPr>
              <w:lang w:val="zh-CN"/>
            </w:rPr>
          </w:pPr>
        </w:p>
        <w:p w14:paraId="52656F81">
          <w:pPr>
            <w:pStyle w:val="17"/>
            <w:jc w:val="center"/>
            <w:rPr>
              <w:rFonts w:ascii="宋体" w:hAnsi="宋体" w:eastAsia="宋体"/>
              <w:b/>
              <w:bCs/>
              <w:color w:val="auto"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color w:val="auto"/>
              <w:sz w:val="44"/>
              <w:szCs w:val="44"/>
              <w:lang w:val="zh-CN"/>
            </w:rPr>
            <w:t>目录</w:t>
          </w:r>
        </w:p>
        <w:p w14:paraId="06AAEAA9">
          <w:pPr>
            <w:pStyle w:val="7"/>
            <w:rPr>
              <w:rFonts w:cstheme="minorBidi"/>
              <w:kern w:val="2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r>
            <w:fldChar w:fldCharType="begin"/>
          </w:r>
          <w:r>
            <w:instrText xml:space="preserve"> HYPERLINK \l "_Toc160652029" </w:instrText>
          </w:r>
          <w:r>
            <w:fldChar w:fldCharType="separate"/>
          </w:r>
          <w:r>
            <w:rPr>
              <w:rStyle w:val="11"/>
            </w:rPr>
            <w:t>一、登录</w:t>
          </w:r>
          <w:r>
            <w:tab/>
          </w:r>
          <w:r>
            <w:fldChar w:fldCharType="begin"/>
          </w:r>
          <w:r>
            <w:instrText xml:space="preserve"> PAGEREF _Toc160652029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5F91229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"_Toc160652030"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登陆方式一：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_Toc160652030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2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1F3A94A6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"_Toc160652031"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登陆方式二：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_Toc160652031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2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25657168">
          <w:pPr>
            <w:pStyle w:val="7"/>
            <w:rPr>
              <w:rFonts w:cstheme="minorBidi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HYPERLINK \l "_Toc160652032" </w:instrText>
          </w:r>
          <w:r>
            <w:fldChar w:fldCharType="separate"/>
          </w:r>
          <w:r>
            <w:rPr>
              <w:rStyle w:val="11"/>
            </w:rPr>
            <w:t>二、师生报题选题阶段</w:t>
          </w:r>
          <w:r>
            <w:tab/>
          </w:r>
          <w:r>
            <w:fldChar w:fldCharType="begin"/>
          </w:r>
          <w:r>
            <w:instrText xml:space="preserve"> PAGEREF _Toc160652032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FBC7919">
          <w:pPr>
            <w:pStyle w:val="7"/>
            <w:rPr>
              <w:rFonts w:cstheme="minorBidi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HYPERLINK \l "_Toc160652033" </w:instrText>
          </w:r>
          <w:r>
            <w:fldChar w:fldCharType="separate"/>
          </w:r>
          <w:r>
            <w:rPr>
              <w:rStyle w:val="11"/>
            </w:rPr>
            <w:t>三、过程文档管理阶段</w:t>
          </w:r>
          <w:r>
            <w:tab/>
          </w:r>
          <w:r>
            <w:fldChar w:fldCharType="begin"/>
          </w:r>
          <w:r>
            <w:instrText xml:space="preserve"> PAGEREF _Toc160652033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C7E9783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"_Toc160652034"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1、开题报告的提交及修改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_Toc160652034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6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5F8757DA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"_Toc160652035"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2、提交中期检查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_Toc160652035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7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6642292C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"_Toc160652036"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3、提交诚信承诺书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_Toc160652036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8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13327B2B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"_Toc160652037"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4、提交毕业论文过程稿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_Toc160652037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8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12ABCF9B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"_Toc160652038"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5、提交毕业论文检测稿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_Toc160652038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10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64481C83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"_Toc160652039"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6、查看答辩组安排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_Toc160652039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11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3D7AB810">
          <w:pPr>
            <w:pStyle w:val="7"/>
            <w:rPr>
              <w:rFonts w:cstheme="minorBidi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HYPERLINK \l "_Toc160652040" </w:instrText>
          </w:r>
          <w:r>
            <w:fldChar w:fldCharType="separate"/>
          </w:r>
          <w:r>
            <w:rPr>
              <w:rStyle w:val="11"/>
            </w:rPr>
            <w:t>四、定稿及导出文档阶段</w:t>
          </w:r>
          <w:r>
            <w:tab/>
          </w:r>
          <w:r>
            <w:fldChar w:fldCharType="begin"/>
          </w:r>
          <w:r>
            <w:instrText xml:space="preserve"> PAGEREF _Toc160652040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7F41BED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"_Toc160652041"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1、提交答辩后定稿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_Toc160652041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12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5AE00BF8">
          <w:pPr>
            <w:pStyle w:val="8"/>
            <w:tabs>
              <w:tab w:val="right" w:leader="dot" w:pos="8296"/>
            </w:tabs>
            <w:rPr>
              <w:rFonts w:ascii="宋体" w:hAnsi="宋体" w:eastAsia="宋体" w:cstheme="minorBidi"/>
              <w:kern w:val="2"/>
              <w:sz w:val="32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"_Toc160652042"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32"/>
              <w:szCs w:val="32"/>
            </w:rPr>
            <w:t>2、导出文档归档</w:t>
          </w:r>
          <w:r>
            <w:rPr>
              <w:rFonts w:ascii="宋体" w:hAnsi="宋体" w:eastAsia="宋体"/>
              <w:sz w:val="32"/>
              <w:szCs w:val="32"/>
            </w:rPr>
            <w:tab/>
          </w:r>
          <w:r>
            <w:rPr>
              <w:rFonts w:ascii="宋体" w:hAnsi="宋体" w:eastAsia="宋体"/>
              <w:sz w:val="32"/>
              <w:szCs w:val="32"/>
            </w:rPr>
            <w:fldChar w:fldCharType="begin"/>
          </w:r>
          <w:r>
            <w:rPr>
              <w:rFonts w:ascii="宋体" w:hAnsi="宋体" w:eastAsia="宋体"/>
              <w:sz w:val="32"/>
              <w:szCs w:val="32"/>
            </w:rPr>
            <w:instrText xml:space="preserve"> PAGEREF _Toc160652042 \h </w:instrText>
          </w:r>
          <w:r>
            <w:rPr>
              <w:rFonts w:ascii="宋体" w:hAnsi="宋体" w:eastAsia="宋体"/>
              <w:sz w:val="32"/>
              <w:szCs w:val="32"/>
            </w:rPr>
            <w:fldChar w:fldCharType="separate"/>
          </w:r>
          <w:r>
            <w:rPr>
              <w:rFonts w:ascii="宋体" w:hAnsi="宋体" w:eastAsia="宋体"/>
              <w:sz w:val="32"/>
              <w:szCs w:val="32"/>
            </w:rPr>
            <w:t>13</w:t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  <w:r>
            <w:rPr>
              <w:rFonts w:ascii="宋体" w:hAnsi="宋体" w:eastAsia="宋体"/>
              <w:sz w:val="32"/>
              <w:szCs w:val="32"/>
            </w:rPr>
            <w:fldChar w:fldCharType="end"/>
          </w:r>
        </w:p>
        <w:p w14:paraId="221E8717">
          <w:r>
            <w:rPr>
              <w:b/>
              <w:bCs/>
              <w:lang w:val="zh-CN"/>
            </w:rPr>
            <w:fldChar w:fldCharType="end"/>
          </w:r>
        </w:p>
      </w:sdtContent>
    </w:sdt>
    <w:p w14:paraId="25610EE5">
      <w:pPr>
        <w:widowControl/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rPr>
          <w:rFonts w:ascii="宋体" w:hAnsi="宋体" w:eastAsia="宋体"/>
          <w:b/>
          <w:bCs/>
          <w:color w:val="FF0000"/>
          <w:sz w:val="36"/>
          <w:szCs w:val="36"/>
        </w:rPr>
        <w:br w:type="page"/>
      </w:r>
    </w:p>
    <w:p w14:paraId="5E6686A3">
      <w:pPr>
        <w:pStyle w:val="2"/>
        <w:rPr>
          <w:rFonts w:ascii="宋体" w:hAnsi="宋体"/>
          <w:color w:val="FF0000"/>
          <w:szCs w:val="32"/>
        </w:rPr>
      </w:pPr>
      <w:bookmarkStart w:id="1" w:name="_Toc160652029"/>
      <w:r>
        <w:rPr>
          <w:rFonts w:hint="eastAsia" w:ascii="宋体" w:hAnsi="宋体"/>
          <w:color w:val="FF0000"/>
          <w:szCs w:val="32"/>
        </w:rPr>
        <w:t>一、登录</w:t>
      </w:r>
      <w:bookmarkEnd w:id="1"/>
    </w:p>
    <w:p w14:paraId="53D468AB">
      <w:pPr>
        <w:pStyle w:val="3"/>
        <w:rPr>
          <w:rFonts w:ascii="宋体" w:hAnsi="宋体"/>
          <w:color w:val="FF0000"/>
          <w:szCs w:val="30"/>
        </w:rPr>
      </w:pPr>
      <w:bookmarkStart w:id="2" w:name="_Toc160652030"/>
      <w:bookmarkStart w:id="3" w:name="_Hlk148601934"/>
      <w:r>
        <w:rPr>
          <w:rFonts w:hint="eastAsia" w:ascii="宋体" w:hAnsi="宋体"/>
          <w:color w:val="FF0000"/>
          <w:szCs w:val="30"/>
        </w:rPr>
        <w:t>登陆方式一：</w:t>
      </w:r>
      <w:bookmarkEnd w:id="2"/>
    </w:p>
    <w:p w14:paraId="214D1EA1"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通过统一身份认证大平台登录毕设系统。首次登陆需要输入知网账号及初始密码，按照系统提示完成初始密码修改，后期登陆可以直接通过统一身份认证大平台登录毕设系统。</w:t>
      </w:r>
    </w:p>
    <w:p w14:paraId="17FCC9F3"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2954655"/>
            <wp:effectExtent l="0" t="0" r="2540" b="0"/>
            <wp:docPr id="183933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385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E5D0">
      <w:pPr>
        <w:pStyle w:val="3"/>
        <w:rPr>
          <w:rFonts w:ascii="宋体" w:hAnsi="宋体"/>
          <w:color w:val="FF0000"/>
          <w:szCs w:val="30"/>
        </w:rPr>
      </w:pPr>
      <w:bookmarkStart w:id="4" w:name="_Toc160652031"/>
      <w:r>
        <w:rPr>
          <w:rFonts w:hint="eastAsia" w:ascii="宋体" w:hAnsi="宋体"/>
          <w:color w:val="FF0000"/>
          <w:szCs w:val="30"/>
        </w:rPr>
        <w:t>登陆方式二：</w:t>
      </w:r>
      <w:bookmarkEnd w:id="4"/>
    </w:p>
    <w:p w14:paraId="6508702F"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通过网址</w:t>
      </w:r>
      <w:r>
        <w:rPr>
          <w:rFonts w:ascii="宋体" w:hAnsi="宋体" w:eastAsia="宋体"/>
          <w:b/>
          <w:bCs/>
          <w:sz w:val="28"/>
          <w:szCs w:val="28"/>
        </w:rPr>
        <w:t>https://co2.cnki.net/login.html?dp=lixin&amp;cas=1</w:t>
      </w:r>
      <w:r>
        <w:rPr>
          <w:rFonts w:hint="eastAsia" w:ascii="宋体" w:hAnsi="宋体" w:eastAsia="宋体"/>
          <w:b/>
          <w:bCs/>
          <w:sz w:val="28"/>
          <w:szCs w:val="28"/>
        </w:rPr>
        <w:t>进入登陆页面，</w:t>
      </w:r>
      <w:bookmarkEnd w:id="3"/>
      <w:r>
        <w:rPr>
          <w:rFonts w:hint="eastAsia" w:ascii="宋体" w:hAnsi="宋体" w:eastAsia="宋体"/>
          <w:b/>
          <w:bCs/>
          <w:sz w:val="28"/>
          <w:szCs w:val="28"/>
        </w:rPr>
        <w:t>选择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学生角色</w:t>
      </w:r>
      <w:r>
        <w:rPr>
          <w:rFonts w:hint="eastAsia" w:ascii="宋体" w:hAnsi="宋体" w:eastAsia="宋体"/>
          <w:b/>
          <w:bCs/>
          <w:sz w:val="28"/>
          <w:szCs w:val="28"/>
        </w:rPr>
        <w:t>，初始账号为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学号</w:t>
      </w:r>
      <w:r>
        <w:rPr>
          <w:rFonts w:hint="eastAsia" w:ascii="宋体" w:hAnsi="宋体" w:eastAsia="宋体"/>
          <w:b/>
          <w:bCs/>
          <w:sz w:val="28"/>
          <w:szCs w:val="28"/>
        </w:rPr>
        <w:t>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（首次登陆必须在电脑端，登陆后绑定微信，可以通过微信扫码登陆系统）</w:t>
      </w:r>
    </w:p>
    <w:p w14:paraId="1E480970">
      <w:pPr>
        <w:ind w:firstLine="562" w:firstLineChars="200"/>
        <w:rPr>
          <w:rFonts w:hint="default" w:ascii="宋体" w:hAnsi="宋体" w:eastAsia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在用户设置位置进行个人信息维护，设置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电子签名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b/>
          <w:bCs/>
          <w:color w:val="auto"/>
          <w:sz w:val="28"/>
          <w:szCs w:val="28"/>
          <w:lang w:val="en-US" w:eastAsia="zh-CN"/>
        </w:rPr>
        <w:t>可用于生成声明及论文使用授权页。</w:t>
      </w:r>
    </w:p>
    <w:p w14:paraId="4C9EC895">
      <w:pPr>
        <w:rPr>
          <w:sz w:val="28"/>
          <w:szCs w:val="28"/>
        </w:rPr>
      </w:pPr>
      <w:r>
        <w:drawing>
          <wp:inline distT="0" distB="0" distL="0" distR="0">
            <wp:extent cx="5274310" cy="2216150"/>
            <wp:effectExtent l="0" t="0" r="2540" b="0"/>
            <wp:docPr id="1371092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9207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CD21">
      <w:pPr>
        <w:rPr>
          <w:sz w:val="28"/>
          <w:szCs w:val="28"/>
        </w:rPr>
      </w:pPr>
      <w:r>
        <w:drawing>
          <wp:inline distT="0" distB="0" distL="0" distR="0">
            <wp:extent cx="1504950" cy="2597150"/>
            <wp:effectExtent l="0" t="0" r="0" b="0"/>
            <wp:docPr id="78519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967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5027" cy="259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7481">
      <w:pPr>
        <w:rPr>
          <w:rFonts w:hint="default" w:eastAsiaTheme="minorEastAsia"/>
          <w:color w:val="FF0000"/>
          <w:sz w:val="28"/>
          <w:szCs w:val="28"/>
          <w:lang w:val="en-US" w:eastAsia="zh-CN"/>
        </w:rPr>
      </w:pPr>
      <w:bookmarkStart w:id="5" w:name="_Hlk82609383"/>
      <w:r>
        <w:rPr>
          <w:rFonts w:hint="eastAsia"/>
          <w:sz w:val="28"/>
          <w:szCs w:val="28"/>
        </w:rPr>
        <w:t>学生毕设系统支持微信小程序进行操作，登陆首页关注即可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color w:val="FF0000"/>
          <w:sz w:val="28"/>
          <w:szCs w:val="28"/>
          <w:lang w:val="en-US" w:eastAsia="zh-CN"/>
        </w:rPr>
        <w:t>建议绑定微信，可接收系统提醒消息，外网登录时也可直接微信扫码登录。</w:t>
      </w:r>
    </w:p>
    <w:bookmarkEnd w:id="5"/>
    <w:p w14:paraId="3E996433">
      <w:pPr>
        <w:rPr>
          <w:sz w:val="28"/>
          <w:szCs w:val="28"/>
        </w:rPr>
      </w:pPr>
      <w:r>
        <w:drawing>
          <wp:inline distT="0" distB="0" distL="0" distR="0">
            <wp:extent cx="1758950" cy="1619250"/>
            <wp:effectExtent l="0" t="0" r="0" b="0"/>
            <wp:docPr id="1571382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8269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16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26E0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8A72C07">
      <w:pPr>
        <w:pStyle w:val="2"/>
        <w:rPr>
          <w:rFonts w:ascii="宋体" w:hAnsi="宋体"/>
          <w:color w:val="FF0000"/>
          <w:szCs w:val="32"/>
        </w:rPr>
      </w:pPr>
      <w:bookmarkStart w:id="6" w:name="_Toc160652032"/>
      <w:r>
        <w:rPr>
          <w:rFonts w:hint="eastAsia" w:ascii="宋体" w:hAnsi="宋体"/>
          <w:color w:val="FF0000"/>
          <w:szCs w:val="32"/>
        </w:rPr>
        <w:t>二、</w:t>
      </w:r>
      <w:bookmarkStart w:id="7" w:name="_Hlk148602100"/>
      <w:r>
        <w:rPr>
          <w:rFonts w:hint="eastAsia" w:ascii="宋体" w:hAnsi="宋体"/>
          <w:color w:val="FF0000"/>
          <w:szCs w:val="32"/>
        </w:rPr>
        <w:t>师生报题选题阶段</w:t>
      </w:r>
      <w:bookmarkEnd w:id="6"/>
      <w:bookmarkEnd w:id="7"/>
    </w:p>
    <w:p w14:paraId="0C2D77B3">
      <w:pPr>
        <w:rPr>
          <w:rFonts w:ascii="宋体" w:hAnsi="宋体" w:eastAsia="宋体"/>
          <w:b/>
          <w:bCs/>
          <w:color w:val="FF0000"/>
          <w:sz w:val="30"/>
          <w:szCs w:val="30"/>
          <w:highlight w:val="yellow"/>
        </w:rPr>
      </w:pPr>
      <w:bookmarkStart w:id="8" w:name="_Hlk54283837"/>
      <w:r>
        <w:rPr>
          <w:rFonts w:hint="eastAsia" w:ascii="宋体" w:hAnsi="宋体" w:eastAsia="宋体"/>
          <w:b/>
          <w:bCs/>
          <w:color w:val="FF0000"/>
          <w:sz w:val="30"/>
          <w:szCs w:val="30"/>
          <w:highlight w:val="yellow"/>
        </w:rPr>
        <w:t>达成师生双选关系（四种方式）</w:t>
      </w:r>
    </w:p>
    <w:p w14:paraId="4755C4A6">
      <w:pPr>
        <w:pStyle w:val="12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方式一：指导教师申报题目-学生选题</w:t>
      </w:r>
    </w:p>
    <w:p w14:paraId="10B802E1"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指导教师申报题目后，学生可进行选题。需在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“选题管理”</w:t>
      </w:r>
      <w:r>
        <w:rPr>
          <w:rFonts w:hint="eastAsia" w:ascii="宋体" w:hAnsi="宋体" w:eastAsia="宋体"/>
          <w:b/>
          <w:bCs/>
          <w:sz w:val="28"/>
          <w:szCs w:val="28"/>
        </w:rPr>
        <w:t>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“学生选题（教师申报题目）”</w:t>
      </w:r>
      <w:r>
        <w:rPr>
          <w:rFonts w:hint="eastAsia" w:ascii="宋体" w:hAnsi="宋体" w:eastAsia="宋体"/>
          <w:b/>
          <w:bCs/>
          <w:sz w:val="28"/>
          <w:szCs w:val="28"/>
        </w:rPr>
        <w:t>处点击“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选择题目”</w:t>
      </w:r>
      <w:r>
        <w:rPr>
          <w:rFonts w:hint="eastAsia" w:ascii="宋体" w:hAnsi="宋体" w:eastAsia="宋体"/>
          <w:b/>
          <w:bCs/>
          <w:sz w:val="28"/>
          <w:szCs w:val="28"/>
        </w:rPr>
        <w:t>，教师审核通过后，师生达成双选关系。</w:t>
      </w:r>
    </w:p>
    <w:p w14:paraId="23D21792">
      <w:pPr>
        <w:ind w:firstLine="420" w:firstLineChars="200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1657350" cy="1155700"/>
            <wp:effectExtent l="0" t="0" r="0" b="6350"/>
            <wp:docPr id="1267777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7704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435" cy="115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22450" cy="514350"/>
            <wp:effectExtent l="0" t="0" r="6350" b="0"/>
            <wp:docPr id="1026442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4265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2544" cy="5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4DDEF3A3">
      <w:pPr>
        <w:pStyle w:val="12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方式二：指导教师申报题目后指定给与某学生</w:t>
      </w:r>
    </w:p>
    <w:p w14:paraId="7078408B"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该种方式无需学生操作即可达成双选关系。</w:t>
      </w:r>
    </w:p>
    <w:p w14:paraId="7D358582">
      <w:pPr>
        <w:pStyle w:val="12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方式三：学生申报题目选择指导教师</w:t>
      </w:r>
    </w:p>
    <w:p w14:paraId="26641E09">
      <w:pPr>
        <w:pStyle w:val="12"/>
        <w:ind w:firstLine="562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“选题管理”</w:t>
      </w:r>
      <w:r>
        <w:rPr>
          <w:rFonts w:hint="eastAsia" w:ascii="宋体" w:hAnsi="宋体" w:eastAsia="宋体"/>
          <w:b/>
          <w:bCs/>
          <w:sz w:val="28"/>
          <w:szCs w:val="28"/>
        </w:rPr>
        <w:t>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“学生申报题目”</w:t>
      </w:r>
      <w:r>
        <w:rPr>
          <w:rFonts w:hint="eastAsia" w:ascii="宋体" w:hAnsi="宋体" w:eastAsia="宋体"/>
          <w:b/>
          <w:bCs/>
          <w:sz w:val="28"/>
          <w:szCs w:val="28"/>
        </w:rPr>
        <w:t>处点击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“录入题目”</w:t>
      </w:r>
      <w:r>
        <w:rPr>
          <w:rFonts w:hint="eastAsia" w:ascii="宋体" w:hAnsi="宋体" w:eastAsia="宋体"/>
          <w:b/>
          <w:bCs/>
          <w:sz w:val="28"/>
          <w:szCs w:val="28"/>
        </w:rPr>
        <w:t>进行题目申报。申报后需指导教师、专业负责人依次审核通过后方可达成双选关系。如需修改题目需要指导教师/专业负责人/教学秘书给允许修改权限，学生再进行修改即可，修改后无需他人再次审核。</w:t>
      </w:r>
    </w:p>
    <w:p w14:paraId="42E78170">
      <w:pPr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4070350" cy="1873250"/>
            <wp:effectExtent l="0" t="0" r="6350" b="0"/>
            <wp:docPr id="1286102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0257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3848" cy="18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3D48">
      <w:pPr>
        <w:pStyle w:val="12"/>
        <w:numPr>
          <w:ilvl w:val="0"/>
          <w:numId w:val="1"/>
        </w:numPr>
        <w:ind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方式四：教学秘书统一导入师生双选关系</w:t>
      </w:r>
    </w:p>
    <w:p w14:paraId="0AF07251">
      <w:pPr>
        <w:pStyle w:val="12"/>
        <w:ind w:left="720" w:firstLine="0" w:firstLineChars="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无需师生线上再次完成双选工作。</w:t>
      </w:r>
    </w:p>
    <w:p w14:paraId="747E9C38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 w14:paraId="38BD52F6">
      <w:pPr>
        <w:pStyle w:val="2"/>
        <w:rPr>
          <w:color w:val="FF0000"/>
        </w:rPr>
      </w:pPr>
      <w:bookmarkStart w:id="9" w:name="_Toc160652033"/>
      <w:r>
        <w:rPr>
          <w:rFonts w:hint="eastAsia"/>
          <w:color w:val="FF0000"/>
        </w:rPr>
        <w:t>三、过程文档管理阶段</w:t>
      </w:r>
      <w:bookmarkEnd w:id="9"/>
    </w:p>
    <w:p w14:paraId="5112EAA5">
      <w:pPr>
        <w:pStyle w:val="3"/>
        <w:rPr>
          <w:color w:val="FF0000"/>
          <w:highlight w:val="yellow"/>
        </w:rPr>
      </w:pPr>
      <w:bookmarkStart w:id="10" w:name="_Toc160652034"/>
      <w:r>
        <w:rPr>
          <w:rFonts w:hint="eastAsia"/>
          <w:color w:val="FF0000"/>
          <w:highlight w:val="yellow"/>
        </w:rPr>
        <w:t>1、开题报告的提交及修改</w:t>
      </w:r>
      <w:bookmarkEnd w:id="10"/>
    </w:p>
    <w:p w14:paraId="5D818C97">
      <w:pPr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yellow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“提交开题报告”</w:t>
      </w:r>
      <w:r>
        <w:rPr>
          <w:rFonts w:hint="eastAsia" w:ascii="宋体" w:hAnsi="宋体" w:eastAsia="宋体"/>
          <w:b/>
          <w:bCs/>
          <w:sz w:val="28"/>
          <w:szCs w:val="28"/>
        </w:rPr>
        <w:t>模块提交开题报告内容，开题报告提交后由指导教师进行审核。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（指导教师审核前，学生可以自行修改开题报告内容，教师审核通过后需教师给与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yellow"/>
        </w:rPr>
        <w:t>“允许修改”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权限，学生才可修改。）</w:t>
      </w:r>
    </w:p>
    <w:p w14:paraId="689D79E4">
      <w:pPr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学生点击“添加附件”按钮自行上传开题报告，附件格式可以为doc，docx，pdf，wps，rar，zip，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none"/>
        </w:rPr>
        <w:t>若开题报告中涉及公式、图表、特殊符号等，建议上传PDF版本。</w:t>
      </w:r>
    </w:p>
    <w:p w14:paraId="33613A3A">
      <w:pPr>
        <w:jc w:val="left"/>
      </w:pPr>
      <w:r>
        <w:drawing>
          <wp:inline distT="0" distB="0" distL="0" distR="0">
            <wp:extent cx="5274310" cy="2085340"/>
            <wp:effectExtent l="0" t="0" r="2540" b="0"/>
            <wp:docPr id="361631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3145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95850" cy="2679700"/>
            <wp:effectExtent l="0" t="0" r="0" b="6350"/>
            <wp:docPr id="1990077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7797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26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C282">
      <w:pPr>
        <w:jc w:val="left"/>
      </w:pPr>
    </w:p>
    <w:p w14:paraId="196923A0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highlight w:val="yellow"/>
        </w:rPr>
        <w:t>开题答辩</w:t>
      </w:r>
    </w:p>
    <w:p w14:paraId="02D8F478">
      <w:pPr>
        <w:jc w:val="left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“开题答辩”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“查看我参加的开题答辩”</w:t>
      </w:r>
      <w:r>
        <w:rPr>
          <w:rFonts w:hint="eastAsia" w:ascii="宋体" w:hAnsi="宋体" w:eastAsia="宋体"/>
          <w:color w:val="FF0000"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</w:rPr>
        <w:t>查看开题答辩组安排。</w:t>
      </w:r>
    </w:p>
    <w:p w14:paraId="02B6E37F">
      <w:pPr>
        <w:jc w:val="left"/>
        <w:rPr>
          <w:rFonts w:ascii="宋体" w:hAnsi="宋体" w:eastAsia="宋体"/>
          <w:color w:val="FF0000"/>
          <w:sz w:val="28"/>
          <w:szCs w:val="28"/>
        </w:rPr>
      </w:pPr>
      <w:r>
        <w:drawing>
          <wp:inline distT="0" distB="0" distL="0" distR="0">
            <wp:extent cx="1701800" cy="1333500"/>
            <wp:effectExtent l="0" t="0" r="0" b="0"/>
            <wp:docPr id="1966098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9866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1887" cy="13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3C40">
      <w:pPr>
        <w:pStyle w:val="3"/>
        <w:rPr>
          <w:color w:val="FF0000"/>
          <w:highlight w:val="yellow"/>
        </w:rPr>
      </w:pPr>
      <w:bookmarkStart w:id="11" w:name="_Toc160652035"/>
      <w:r>
        <w:rPr>
          <w:rFonts w:hint="eastAsia"/>
          <w:color w:val="FF0000"/>
          <w:highlight w:val="yellow"/>
        </w:rPr>
        <w:t>2、提交中期检查</w:t>
      </w:r>
      <w:bookmarkEnd w:id="11"/>
    </w:p>
    <w:p w14:paraId="3CADFC01"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“提交中期检查”</w:t>
      </w:r>
      <w:r>
        <w:rPr>
          <w:rFonts w:hint="eastAsia" w:ascii="宋体" w:hAnsi="宋体" w:eastAsia="宋体"/>
          <w:b/>
          <w:bCs/>
          <w:sz w:val="28"/>
          <w:szCs w:val="28"/>
        </w:rPr>
        <w:t>处进行提交即可。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（指导教师审核前，学生可以自行修改中期检查内容，教师审核通过后需教师给与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highlight w:val="yellow"/>
        </w:rPr>
        <w:t>“允许修改”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权限，学生才可修改。）</w:t>
      </w:r>
    </w:p>
    <w:p w14:paraId="308BEBE5">
      <w:pPr>
        <w:jc w:val="left"/>
        <w:rPr>
          <w:rFonts w:ascii="宋体" w:hAnsi="宋体" w:eastAsia="宋体"/>
          <w:b/>
          <w:bCs/>
          <w:color w:val="FF0000"/>
          <w:sz w:val="32"/>
          <w:szCs w:val="32"/>
          <w:highlight w:val="yellow"/>
        </w:rPr>
      </w:pPr>
      <w:r>
        <w:drawing>
          <wp:inline distT="0" distB="0" distL="0" distR="0">
            <wp:extent cx="4533900" cy="3806190"/>
            <wp:effectExtent l="0" t="0" r="0" b="3810"/>
            <wp:docPr id="1583762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6246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8606" cy="38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696C">
      <w:pPr>
        <w:pStyle w:val="3"/>
        <w:rPr>
          <w:color w:val="FF0000"/>
          <w:highlight w:val="yellow"/>
        </w:rPr>
      </w:pPr>
      <w:bookmarkStart w:id="12" w:name="_Toc160652036"/>
      <w:r>
        <w:rPr>
          <w:rFonts w:hint="eastAsia"/>
          <w:color w:val="FF0000"/>
          <w:highlight w:val="yellow"/>
        </w:rPr>
        <w:t>3、提交诚信承诺书</w:t>
      </w:r>
      <w:bookmarkEnd w:id="12"/>
    </w:p>
    <w:p w14:paraId="7A2AA76A">
      <w:pPr>
        <w:ind w:firstLine="562" w:firstLineChars="200"/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“提交声明和论文使用的授权”</w:t>
      </w:r>
      <w:r>
        <w:rPr>
          <w:rFonts w:hint="eastAsia" w:ascii="宋体" w:hAnsi="宋体" w:eastAsia="宋体"/>
          <w:b/>
          <w:bCs/>
          <w:sz w:val="28"/>
          <w:szCs w:val="28"/>
        </w:rPr>
        <w:t>处点击提交即可。</w:t>
      </w:r>
    </w:p>
    <w:p w14:paraId="7E89D0DF">
      <w:pPr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5274310" cy="1980565"/>
            <wp:effectExtent l="0" t="0" r="2540" b="635"/>
            <wp:docPr id="1829603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0392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F83E">
      <w:pPr>
        <w:pStyle w:val="3"/>
        <w:rPr>
          <w:color w:val="FF0000"/>
          <w:highlight w:val="yellow"/>
        </w:rPr>
      </w:pPr>
      <w:bookmarkStart w:id="13" w:name="_Toc160652037"/>
      <w:r>
        <w:rPr>
          <w:rFonts w:hint="eastAsia"/>
          <w:color w:val="FF0000"/>
          <w:highlight w:val="yellow"/>
        </w:rPr>
        <w:t>4、提交毕业论文过程稿</w:t>
      </w:r>
      <w:bookmarkEnd w:id="13"/>
    </w:p>
    <w:p w14:paraId="02217928"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“提交过程稿”</w:t>
      </w:r>
      <w:r>
        <w:rPr>
          <w:rFonts w:hint="eastAsia" w:ascii="宋体" w:hAnsi="宋体" w:eastAsia="宋体"/>
          <w:b/>
          <w:bCs/>
          <w:sz w:val="28"/>
          <w:szCs w:val="28"/>
        </w:rPr>
        <w:t>处进行提交毕业论文过程稿，需将论文上传至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“上传论文（不检测）”</w:t>
      </w:r>
      <w:r>
        <w:rPr>
          <w:rFonts w:hint="eastAsia" w:ascii="宋体" w:hAnsi="宋体" w:eastAsia="宋体"/>
          <w:b/>
          <w:bCs/>
          <w:sz w:val="28"/>
          <w:szCs w:val="28"/>
        </w:rPr>
        <w:t>的位置。附件位置可用于提交与论文相关的视频、音频、图片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数据</w:t>
      </w:r>
      <w:r>
        <w:rPr>
          <w:rFonts w:hint="eastAsia" w:ascii="宋体" w:hAnsi="宋体" w:eastAsia="宋体"/>
          <w:b/>
          <w:bCs/>
          <w:sz w:val="28"/>
          <w:szCs w:val="28"/>
        </w:rPr>
        <w:t>等材料，没有附件可以不传</w:t>
      </w:r>
      <w:bookmarkStart w:id="14" w:name="_Hlk148970211"/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（该版本论文无论指导教师是否审核通过，都可以再次提交新版本，不限制提交总次数。）</w:t>
      </w:r>
    </w:p>
    <w:p w14:paraId="26AB9E9D"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bookmarkStart w:id="20" w:name="_GoBack"/>
      <w:bookmarkEnd w:id="20"/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附件需自行命名，要求清晰明了，由于撰写过程中会多次上传论文稿及附件，系统会将所有过程文档及附件导出存档，所以可以通过增加时间、版本的方式进行命名，如：系统演示视频-初稿版，系统演示视频-2稿版、系统演示视频-查重稿版、系统演示视频-定稿版；系统演示视频2025.3.1、系统演示视频2025.4.5、系统演示视频2025.5.20。</w:t>
      </w:r>
    </w:p>
    <w:bookmarkEnd w:id="14"/>
    <w:p w14:paraId="5DF3F45A">
      <w:pPr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3079750" cy="1155700"/>
            <wp:effectExtent l="0" t="0" r="6350" b="6350"/>
            <wp:docPr id="2003043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4364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9908" cy="115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BB2F">
      <w:pPr>
        <w:jc w:val="left"/>
      </w:pPr>
      <w:r>
        <w:drawing>
          <wp:inline distT="0" distB="0" distL="0" distR="0">
            <wp:extent cx="5274310" cy="1673860"/>
            <wp:effectExtent l="0" t="0" r="2540" b="2540"/>
            <wp:docPr id="832853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5393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1CB0">
      <w:pPr>
        <w:jc w:val="left"/>
      </w:pPr>
    </w:p>
    <w:p w14:paraId="294264E0">
      <w:pPr>
        <w:jc w:val="left"/>
      </w:pPr>
    </w:p>
    <w:p w14:paraId="681FAE15">
      <w:pPr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点击“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阅读原文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”可查看指导教师批注。</w:t>
      </w:r>
    </w:p>
    <w:p w14:paraId="4A18B0F3">
      <w:pPr>
        <w:ind w:firstLine="420" w:firstLineChars="200"/>
        <w:jc w:val="left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1050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3E9F">
      <w:pPr>
        <w:jc w:val="left"/>
      </w:pPr>
    </w:p>
    <w:p w14:paraId="7F5D015E">
      <w:pPr>
        <w:jc w:val="left"/>
      </w:pPr>
    </w:p>
    <w:p w14:paraId="6C282DA5">
      <w:pPr>
        <w:jc w:val="left"/>
      </w:pPr>
    </w:p>
    <w:p w14:paraId="1C0E6D61">
      <w:pPr>
        <w:jc w:val="left"/>
      </w:pPr>
      <w:r>
        <w:drawing>
          <wp:inline distT="0" distB="0" distL="114300" distR="114300">
            <wp:extent cx="5267960" cy="1285240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825C">
      <w:pPr>
        <w:jc w:val="left"/>
      </w:pPr>
    </w:p>
    <w:p w14:paraId="444F1EB3">
      <w:pPr>
        <w:jc w:val="left"/>
      </w:pPr>
    </w:p>
    <w:p w14:paraId="73902E44">
      <w:pPr>
        <w:jc w:val="left"/>
      </w:pPr>
    </w:p>
    <w:p w14:paraId="7A50B3F3">
      <w:pPr>
        <w:pStyle w:val="3"/>
        <w:rPr>
          <w:color w:val="FF0000"/>
          <w:highlight w:val="yellow"/>
        </w:rPr>
      </w:pPr>
      <w:bookmarkStart w:id="15" w:name="_Toc160652038"/>
      <w:r>
        <w:rPr>
          <w:rFonts w:hint="eastAsia"/>
          <w:color w:val="FF0000"/>
          <w:highlight w:val="yellow"/>
        </w:rPr>
        <w:t>5、提交毕业论文检测稿</w:t>
      </w:r>
      <w:bookmarkEnd w:id="15"/>
    </w:p>
    <w:p w14:paraId="63345EDF"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“过程文档管理”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“提交毕业设计（论文）检测稿”</w:t>
      </w:r>
      <w:r>
        <w:rPr>
          <w:rFonts w:hint="eastAsia" w:ascii="宋体" w:hAnsi="宋体" w:eastAsia="宋体"/>
          <w:b/>
          <w:bCs/>
          <w:sz w:val="28"/>
          <w:szCs w:val="28"/>
        </w:rPr>
        <w:t>处进行提交论文检测，需将论文上传至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“上传论文（待检测）”</w:t>
      </w:r>
      <w:r>
        <w:rPr>
          <w:rFonts w:hint="eastAsia" w:ascii="宋体" w:hAnsi="宋体" w:eastAsia="宋体"/>
          <w:b/>
          <w:bCs/>
          <w:sz w:val="28"/>
          <w:szCs w:val="28"/>
        </w:rPr>
        <w:t>的位置。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（学生提交论文后教师审核前仍可修改论文内容，教师审核通过后自动进入检测程序进行检测，该论文则不允许再被修改。）</w:t>
      </w:r>
    </w:p>
    <w:p w14:paraId="56FC71E3">
      <w:pPr>
        <w:jc w:val="left"/>
      </w:pPr>
      <w:r>
        <w:drawing>
          <wp:inline distT="0" distB="0" distL="0" distR="0">
            <wp:extent cx="1727200" cy="2279650"/>
            <wp:effectExtent l="0" t="0" r="6350" b="6350"/>
            <wp:docPr id="945650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5040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289" cy="22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959F">
      <w:pPr>
        <w:jc w:val="left"/>
      </w:pPr>
      <w:r>
        <w:t xml:space="preserve"> </w:t>
      </w:r>
      <w:r>
        <w:drawing>
          <wp:inline distT="0" distB="0" distL="0" distR="0">
            <wp:extent cx="5274310" cy="1005840"/>
            <wp:effectExtent l="0" t="0" r="2540" b="3810"/>
            <wp:docPr id="11384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9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5CB0">
      <w:pPr>
        <w:pStyle w:val="3"/>
        <w:rPr>
          <w:color w:val="FF0000"/>
          <w:highlight w:val="yellow"/>
        </w:rPr>
      </w:pPr>
      <w:bookmarkStart w:id="16" w:name="_Toc160652039"/>
      <w:r>
        <w:rPr>
          <w:rFonts w:hint="eastAsia"/>
          <w:color w:val="FF0000"/>
          <w:highlight w:val="yellow"/>
        </w:rPr>
        <w:t>6、查看答辩组安排</w:t>
      </w:r>
      <w:bookmarkEnd w:id="16"/>
    </w:p>
    <w:p w14:paraId="47D54E2F">
      <w:pPr>
        <w:jc w:val="left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“评审答辩和成绩管理”</w:t>
      </w:r>
      <w:r>
        <w:rPr>
          <w:rFonts w:hint="eastAsia" w:ascii="宋体" w:hAnsi="宋体" w:eastAsia="宋体"/>
          <w:b/>
          <w:bCs/>
          <w:sz w:val="28"/>
          <w:szCs w:val="28"/>
        </w:rPr>
        <w:t>页面下的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“查看我参加的答辩”</w:t>
      </w:r>
      <w:r>
        <w:rPr>
          <w:rFonts w:hint="eastAsia" w:ascii="宋体" w:hAnsi="宋体" w:eastAsia="宋体"/>
          <w:color w:val="FF0000"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</w:rPr>
        <w:t>查看答辩组安排。</w:t>
      </w:r>
    </w:p>
    <w:p w14:paraId="696EA82C">
      <w:pPr>
        <w:jc w:val="left"/>
      </w:pPr>
      <w:r>
        <w:drawing>
          <wp:inline distT="0" distB="0" distL="0" distR="0">
            <wp:extent cx="1631950" cy="977900"/>
            <wp:effectExtent l="0" t="0" r="6350" b="0"/>
            <wp:docPr id="57790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018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2034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5502C2">
      <w:pPr>
        <w:pStyle w:val="2"/>
        <w:rPr>
          <w:color w:val="FF0000"/>
        </w:rPr>
      </w:pPr>
      <w:bookmarkStart w:id="17" w:name="_Toc160652040"/>
      <w:r>
        <w:rPr>
          <w:rFonts w:hint="eastAsia"/>
          <w:color w:val="FF0000"/>
        </w:rPr>
        <w:t>四、定稿及导出文档阶段</w:t>
      </w:r>
      <w:bookmarkEnd w:id="17"/>
    </w:p>
    <w:p w14:paraId="5512A92F">
      <w:pPr>
        <w:pStyle w:val="3"/>
        <w:rPr>
          <w:color w:val="FF0000"/>
          <w:highlight w:val="yellow"/>
        </w:rPr>
      </w:pPr>
      <w:bookmarkStart w:id="18" w:name="_Toc160652041"/>
      <w:r>
        <w:rPr>
          <w:rFonts w:hint="eastAsia"/>
          <w:color w:val="FF0000"/>
          <w:highlight w:val="yellow"/>
        </w:rPr>
        <w:t>1、提交答辩后定稿</w:t>
      </w:r>
      <w:bookmarkEnd w:id="18"/>
    </w:p>
    <w:p w14:paraId="67208EA8">
      <w:pPr>
        <w:ind w:firstLine="562" w:firstLineChars="200"/>
        <w:rPr>
          <w:rFonts w:hint="default" w:ascii="宋体" w:hAnsi="宋体" w:eastAsia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学生答辩后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对论文进行最后的修改</w:t>
      </w:r>
      <w:r>
        <w:rPr>
          <w:rFonts w:hint="eastAsia" w:ascii="宋体" w:hAnsi="宋体" w:eastAsia="宋体"/>
          <w:b/>
          <w:bCs/>
          <w:sz w:val="28"/>
          <w:szCs w:val="28"/>
        </w:rPr>
        <w:t>，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定稿与抽检信息上报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”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模块</w:t>
      </w:r>
      <w:r>
        <w:rPr>
          <w:rFonts w:hint="eastAsia" w:ascii="宋体" w:hAnsi="宋体" w:eastAsia="宋体"/>
          <w:b/>
          <w:bCs/>
          <w:color w:val="auto"/>
          <w:sz w:val="28"/>
          <w:szCs w:val="28"/>
          <w:lang w:val="en-US" w:eastAsia="zh-CN"/>
        </w:rPr>
        <w:t>提交论文定稿，并填写教育部相关论文抽检信息。</w:t>
      </w:r>
    </w:p>
    <w:p w14:paraId="5B38D6CC"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151765</wp:posOffset>
            </wp:positionV>
            <wp:extent cx="1786890" cy="2905760"/>
            <wp:effectExtent l="0" t="0" r="3810" b="889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0FB3B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 w14:paraId="0D9BFAD9">
      <w:pPr>
        <w:pStyle w:val="3"/>
        <w:rPr>
          <w:color w:val="FF0000"/>
        </w:rPr>
      </w:pPr>
      <w:bookmarkStart w:id="19" w:name="_Toc160652042"/>
      <w:r>
        <w:rPr>
          <w:rFonts w:hint="eastAsia"/>
          <w:color w:val="FF0000"/>
          <w:highlight w:val="yellow"/>
        </w:rPr>
        <w:t>2、导出文档归档</w:t>
      </w:r>
      <w:bookmarkEnd w:id="19"/>
    </w:p>
    <w:p w14:paraId="5D3F8446"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学生在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“首页”</w:t>
      </w:r>
      <w:r>
        <w:rPr>
          <w:rFonts w:hint="eastAsia" w:ascii="宋体" w:hAnsi="宋体" w:eastAsia="宋体"/>
          <w:b/>
          <w:bCs/>
          <w:sz w:val="28"/>
          <w:szCs w:val="28"/>
        </w:rPr>
        <w:t>点击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“导出已配置的文档”</w:t>
      </w:r>
      <w:r>
        <w:rPr>
          <w:rFonts w:hint="eastAsia" w:ascii="宋体" w:hAnsi="宋体" w:eastAsia="宋体"/>
          <w:b/>
          <w:bCs/>
          <w:sz w:val="28"/>
          <w:szCs w:val="28"/>
        </w:rPr>
        <w:t>即可导出文档进行归档。导出以后，96小时内可以在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</w:rPr>
        <w:t>“下载已导出的文档”</w:t>
      </w:r>
      <w:r>
        <w:rPr>
          <w:rFonts w:hint="eastAsia" w:ascii="宋体" w:hAnsi="宋体" w:eastAsia="宋体"/>
          <w:b/>
          <w:bCs/>
          <w:sz w:val="28"/>
          <w:szCs w:val="28"/>
        </w:rPr>
        <w:t>页面直接下载已导出的内容。</w:t>
      </w:r>
    </w:p>
    <w:p w14:paraId="66C9F570">
      <w:pPr>
        <w:jc w:val="left"/>
        <w:rPr>
          <w:rFonts w:ascii="宋体" w:hAnsi="宋体" w:eastAsia="宋体"/>
          <w:b/>
          <w:bCs/>
          <w:color w:val="FF0000"/>
          <w:sz w:val="36"/>
          <w:szCs w:val="36"/>
        </w:rPr>
      </w:pPr>
      <w:r>
        <w:drawing>
          <wp:inline distT="0" distB="0" distL="0" distR="0">
            <wp:extent cx="5274310" cy="1214120"/>
            <wp:effectExtent l="0" t="0" r="2540" b="5080"/>
            <wp:docPr id="1534324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2466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F536E1"/>
    <w:multiLevelType w:val="multilevel"/>
    <w:tmpl w:val="1FF536E1"/>
    <w:lvl w:ilvl="0" w:tentative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entative="0">
      <w:start w:val="3"/>
      <w:numFmt w:val="japaneseCounting"/>
      <w:lvlText w:val="%2、"/>
      <w:lvlJc w:val="left"/>
      <w:pPr>
        <w:ind w:left="1160" w:hanging="74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mNTAxYTA0NTllZTU0OWY5NWY0MWNlMzBjNGU2OTYifQ=="/>
  </w:docVars>
  <w:rsids>
    <w:rsidRoot w:val="000E2833"/>
    <w:rsid w:val="000025EE"/>
    <w:rsid w:val="00032A69"/>
    <w:rsid w:val="00057FA3"/>
    <w:rsid w:val="000A724D"/>
    <w:rsid w:val="000D468A"/>
    <w:rsid w:val="000E2833"/>
    <w:rsid w:val="001326C1"/>
    <w:rsid w:val="001430FF"/>
    <w:rsid w:val="00165250"/>
    <w:rsid w:val="00166B41"/>
    <w:rsid w:val="00194120"/>
    <w:rsid w:val="00233D9D"/>
    <w:rsid w:val="00275219"/>
    <w:rsid w:val="002764AA"/>
    <w:rsid w:val="00292394"/>
    <w:rsid w:val="00350842"/>
    <w:rsid w:val="00374A40"/>
    <w:rsid w:val="004575D6"/>
    <w:rsid w:val="0047322A"/>
    <w:rsid w:val="004C6E32"/>
    <w:rsid w:val="0050092B"/>
    <w:rsid w:val="0050642E"/>
    <w:rsid w:val="005228D6"/>
    <w:rsid w:val="00546AB5"/>
    <w:rsid w:val="005643FE"/>
    <w:rsid w:val="005B26BF"/>
    <w:rsid w:val="005B6EFB"/>
    <w:rsid w:val="005F4F70"/>
    <w:rsid w:val="00693265"/>
    <w:rsid w:val="00694173"/>
    <w:rsid w:val="00695E98"/>
    <w:rsid w:val="006979AB"/>
    <w:rsid w:val="006D4B9C"/>
    <w:rsid w:val="006D6A6E"/>
    <w:rsid w:val="00701948"/>
    <w:rsid w:val="00717E22"/>
    <w:rsid w:val="00723253"/>
    <w:rsid w:val="007259BF"/>
    <w:rsid w:val="007E7A6B"/>
    <w:rsid w:val="00814128"/>
    <w:rsid w:val="008255D6"/>
    <w:rsid w:val="008261BE"/>
    <w:rsid w:val="0083298A"/>
    <w:rsid w:val="008E7C5C"/>
    <w:rsid w:val="0093688B"/>
    <w:rsid w:val="009374D3"/>
    <w:rsid w:val="009A1A55"/>
    <w:rsid w:val="009B47B9"/>
    <w:rsid w:val="009C2FBA"/>
    <w:rsid w:val="00A0653A"/>
    <w:rsid w:val="00A70F2E"/>
    <w:rsid w:val="00AB4762"/>
    <w:rsid w:val="00AC712B"/>
    <w:rsid w:val="00B62330"/>
    <w:rsid w:val="00B70D6E"/>
    <w:rsid w:val="00BC3B3F"/>
    <w:rsid w:val="00C33EEA"/>
    <w:rsid w:val="00C447AD"/>
    <w:rsid w:val="00CD170D"/>
    <w:rsid w:val="00CE4C37"/>
    <w:rsid w:val="00DA0956"/>
    <w:rsid w:val="00DD5CCC"/>
    <w:rsid w:val="00E04B0A"/>
    <w:rsid w:val="00E12D67"/>
    <w:rsid w:val="00E319A3"/>
    <w:rsid w:val="00E70122"/>
    <w:rsid w:val="00E91F2F"/>
    <w:rsid w:val="00E95714"/>
    <w:rsid w:val="00F85599"/>
    <w:rsid w:val="00FB38F6"/>
    <w:rsid w:val="1122167C"/>
    <w:rsid w:val="11A86A50"/>
    <w:rsid w:val="171E4694"/>
    <w:rsid w:val="18AA027B"/>
    <w:rsid w:val="257225F5"/>
    <w:rsid w:val="2AE632C3"/>
    <w:rsid w:val="31C261FD"/>
    <w:rsid w:val="45153ABF"/>
    <w:rsid w:val="6C225202"/>
    <w:rsid w:val="73E11ADA"/>
    <w:rsid w:val="74502012"/>
    <w:rsid w:val="7DB9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HAnsi" w:hAnsiTheme="majorHAnsi" w:cstheme="majorBidi"/>
      <w:b/>
      <w:bCs/>
      <w:sz w:val="30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qFormat/>
    <w:uiPriority w:val="39"/>
    <w:pPr>
      <w:widowControl/>
      <w:tabs>
        <w:tab w:val="right" w:leader="dot" w:pos="8296"/>
      </w:tabs>
      <w:spacing w:after="100" w:line="259" w:lineRule="auto"/>
      <w:jc w:val="left"/>
    </w:pPr>
    <w:rPr>
      <w:rFonts w:ascii="宋体" w:hAnsi="宋体" w:eastAsia="宋体" w:cs="Times New Roman"/>
      <w:kern w:val="0"/>
      <w:sz w:val="32"/>
      <w:szCs w:val="32"/>
    </w:rPr>
  </w:style>
  <w:style w:type="paragraph" w:styleId="8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9"/>
    <w:rPr>
      <w:rFonts w:eastAsia="宋体"/>
      <w:b/>
      <w:bCs/>
      <w:kern w:val="44"/>
      <w:sz w:val="32"/>
      <w:szCs w:val="44"/>
    </w:rPr>
  </w:style>
  <w:style w:type="character" w:customStyle="1" w:styleId="16">
    <w:name w:val="标题 2 字符"/>
    <w:basedOn w:val="10"/>
    <w:link w:val="3"/>
    <w:qFormat/>
    <w:uiPriority w:val="9"/>
    <w:rPr>
      <w:rFonts w:eastAsia="宋体" w:asciiTheme="majorHAnsi" w:hAnsiTheme="majorHAnsi" w:cstheme="majorBidi"/>
      <w:b/>
      <w:bCs/>
      <w:sz w:val="30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6CC3F-9FB1-42D8-953C-912E1DE723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1565</Words>
  <Characters>1631</Characters>
  <Lines>17</Lines>
  <Paragraphs>5</Paragraphs>
  <TotalTime>11</TotalTime>
  <ScaleCrop>false</ScaleCrop>
  <LinksUpToDate>false</LinksUpToDate>
  <CharactersWithSpaces>1676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2022-09-10T09:32:00Z</dcterms:created>
  <dc:creator>刘 亚欣</dc:creator>
  <cp:lastModifiedBy>曹佳佳</cp:lastModifiedBy>
  <dcterms:modified xsi:type="dcterms:W3CDTF">2024-11-05T02:48:01Z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97416A49EDF44192950E0F8B3F4F8B57_12</vt:lpwstr>
  </property>
</Properties>
</file>